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1" w:type="dxa"/>
        <w:tblInd w:w="-72" w:type="dxa"/>
        <w:tblLayout w:type="fixed"/>
        <w:tblLook w:val="01E0"/>
      </w:tblPr>
      <w:tblGrid>
        <w:gridCol w:w="4858"/>
        <w:gridCol w:w="5103"/>
      </w:tblGrid>
      <w:tr w:rsidR="006175AD" w:rsidRPr="00F0179D" w:rsidTr="00F0179D">
        <w:tc>
          <w:tcPr>
            <w:tcW w:w="4858" w:type="dxa"/>
          </w:tcPr>
          <w:p w:rsidR="006175AD" w:rsidRPr="00F0179D" w:rsidRDefault="006175AD" w:rsidP="00F0179D">
            <w:pPr>
              <w:spacing w:after="0" w:line="240" w:lineRule="auto"/>
              <w:ind w:left="-212" w:firstLine="212"/>
              <w:rPr>
                <w:sz w:val="24"/>
                <w:szCs w:val="24"/>
              </w:rPr>
            </w:pPr>
            <w:bookmarkStart w:id="0" w:name="_GoBack"/>
            <w:bookmarkEnd w:id="0"/>
            <w:r w:rsidRPr="00F0179D">
              <w:rPr>
                <w:sz w:val="24"/>
                <w:szCs w:val="24"/>
              </w:rPr>
              <w:t>TỔNG LIÊN ĐOÀN LAO ĐỘNG VIỆT  NAM</w:t>
            </w:r>
          </w:p>
          <w:p w:rsidR="006175AD" w:rsidRPr="00F0179D" w:rsidRDefault="006175AD" w:rsidP="00F0179D">
            <w:pPr>
              <w:spacing w:after="0" w:line="240" w:lineRule="auto"/>
              <w:rPr>
                <w:b/>
                <w:sz w:val="24"/>
                <w:szCs w:val="24"/>
              </w:rPr>
            </w:pPr>
            <w:r w:rsidRPr="00F0179D">
              <w:rPr>
                <w:b/>
                <w:sz w:val="24"/>
                <w:szCs w:val="24"/>
              </w:rPr>
              <w:t>LIÊN ĐOÀN LAO ĐỘNG TỈNH ĐẮK LẮK</w:t>
            </w:r>
          </w:p>
          <w:p w:rsidR="006175AD" w:rsidRPr="00F0179D" w:rsidRDefault="006175AD" w:rsidP="00F0179D">
            <w:pPr>
              <w:spacing w:after="0" w:line="240" w:lineRule="auto"/>
              <w:jc w:val="center"/>
              <w:rPr>
                <w:sz w:val="27"/>
                <w:szCs w:val="27"/>
              </w:rPr>
            </w:pPr>
            <w:r>
              <w:rPr>
                <w:noProof/>
              </w:rPr>
              <w:pict>
                <v:shapetype id="_x0000_t32" coordsize="21600,21600" o:spt="32" o:oned="t" path="m,l21600,21600e" filled="f">
                  <v:path arrowok="t" fillok="f" o:connecttype="none"/>
                  <o:lock v:ext="edit" shapetype="t"/>
                </v:shapetype>
                <v:shape id="AutoShape 6" o:spid="_x0000_s1026" type="#_x0000_t32" style="position:absolute;left:0;text-align:left;margin-left:2.8pt;margin-top:3.9pt;width:221.9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H6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"/>
              </w:pict>
            </w:r>
          </w:p>
          <w:p w:rsidR="006175AD" w:rsidRDefault="006175AD" w:rsidP="00F0179D">
            <w:pPr>
              <w:spacing w:after="0" w:line="240" w:lineRule="auto"/>
              <w:jc w:val="center"/>
              <w:rPr>
                <w:szCs w:val="28"/>
              </w:rPr>
            </w:pPr>
            <w:r w:rsidRPr="00F0179D">
              <w:rPr>
                <w:szCs w:val="28"/>
              </w:rPr>
              <w:t>Số</w:t>
            </w:r>
            <w:r>
              <w:rPr>
                <w:szCs w:val="28"/>
              </w:rPr>
              <w:t>: 834</w:t>
            </w:r>
            <w:r w:rsidRPr="00F0179D">
              <w:rPr>
                <w:szCs w:val="28"/>
              </w:rPr>
              <w:t>/LĐLĐ</w:t>
            </w:r>
          </w:p>
          <w:p w:rsidR="006175AD" w:rsidRPr="00725801" w:rsidRDefault="006175AD" w:rsidP="00906E49">
            <w:pPr>
              <w:shd w:val="clear" w:color="auto" w:fill="FFFFFF"/>
              <w:spacing w:after="0" w:line="240" w:lineRule="auto"/>
              <w:jc w:val="center"/>
              <w:textAlignment w:val="top"/>
              <w:rPr>
                <w:bCs/>
                <w:color w:val="FF0000"/>
                <w:sz w:val="24"/>
                <w:szCs w:val="24"/>
                <w:bdr w:val="none" w:sz="0" w:space="0" w:color="auto" w:frame="1"/>
              </w:rPr>
            </w:pPr>
            <w:r w:rsidRPr="00F42392">
              <w:rPr>
                <w:bCs/>
                <w:sz w:val="24"/>
                <w:szCs w:val="24"/>
                <w:bdr w:val="none" w:sz="0" w:space="0" w:color="auto" w:frame="1"/>
              </w:rPr>
              <w:t xml:space="preserve">V/v </w:t>
            </w:r>
            <w:r w:rsidRPr="005E53CC">
              <w:rPr>
                <w:bCs/>
                <w:sz w:val="24"/>
                <w:szCs w:val="24"/>
                <w:bdr w:val="none" w:sz="0" w:space="0" w:color="auto" w:frame="1"/>
              </w:rPr>
              <w:t>Triển khai Kế hoạch số 59/KH-TLĐ thực hiện Kết luận số 80-KL/TW, Chỉ thị số 32-CT/TW về tăng cường sự lãnh đạo của Đảng trong công tác phổ biến, giáo dục pháp luật, nâng cao ý thức pháp luật của cán bộ, nhân dân</w:t>
            </w:r>
          </w:p>
        </w:tc>
        <w:tc>
          <w:tcPr>
            <w:tcW w:w="5103" w:type="dxa"/>
          </w:tcPr>
          <w:p w:rsidR="006175AD" w:rsidRPr="00F0179D" w:rsidRDefault="006175AD" w:rsidP="00F0179D">
            <w:pPr>
              <w:keepNext/>
              <w:spacing w:after="0" w:line="240" w:lineRule="auto"/>
              <w:ind w:right="-250"/>
              <w:outlineLvl w:val="1"/>
              <w:rPr>
                <w:b/>
                <w:bCs/>
                <w:sz w:val="24"/>
                <w:szCs w:val="24"/>
              </w:rPr>
            </w:pPr>
            <w:r w:rsidRPr="00F0179D">
              <w:rPr>
                <w:b/>
                <w:bCs/>
                <w:sz w:val="24"/>
                <w:szCs w:val="24"/>
              </w:rPr>
              <w:t>CỘNG HÒA XÃ HỘI CHỦ NGHĨA VIỆT NAM</w:t>
            </w:r>
          </w:p>
          <w:p w:rsidR="006175AD" w:rsidRPr="00F0179D" w:rsidRDefault="006175AD" w:rsidP="00F0179D">
            <w:pPr>
              <w:keepNext/>
              <w:spacing w:after="0" w:line="240" w:lineRule="auto"/>
              <w:ind w:left="-93"/>
              <w:jc w:val="center"/>
              <w:outlineLvl w:val="1"/>
              <w:rPr>
                <w:b/>
                <w:bCs/>
                <w:sz w:val="26"/>
                <w:szCs w:val="26"/>
              </w:rPr>
            </w:pPr>
            <w:r w:rsidRPr="00F0179D">
              <w:rPr>
                <w:b/>
                <w:bCs/>
                <w:sz w:val="26"/>
                <w:szCs w:val="26"/>
              </w:rPr>
              <w:t>Độc lập - Tự do - Hạnh phúc</w:t>
            </w:r>
          </w:p>
          <w:p w:rsidR="006175AD" w:rsidRPr="00F0179D" w:rsidRDefault="006175AD" w:rsidP="00F0179D">
            <w:pPr>
              <w:keepNext/>
              <w:spacing w:after="0" w:line="240" w:lineRule="auto"/>
              <w:jc w:val="center"/>
              <w:outlineLvl w:val="1"/>
              <w:rPr>
                <w:bCs/>
                <w:i/>
                <w:sz w:val="26"/>
                <w:szCs w:val="26"/>
              </w:rPr>
            </w:pPr>
            <w:r>
              <w:rPr>
                <w:noProof/>
              </w:rPr>
              <w:pict>
                <v:line id="Line 3" o:spid="_x0000_s1027" style="position:absolute;left:0;text-align:left;z-index:251657216;visibility:visible;mso-wrap-distance-top:-3e-5mm;mso-wrap-distance-bottom:-3e-5mm" from="50.5pt,2.9pt" to="213.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Ew4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"/>
              </w:pict>
            </w:r>
          </w:p>
          <w:p w:rsidR="006175AD" w:rsidRPr="00F0179D" w:rsidRDefault="006175AD" w:rsidP="00C17F6C">
            <w:pPr>
              <w:keepNext/>
              <w:spacing w:after="0" w:line="240" w:lineRule="auto"/>
              <w:jc w:val="center"/>
              <w:outlineLvl w:val="1"/>
              <w:rPr>
                <w:bCs/>
                <w:i/>
                <w:szCs w:val="28"/>
              </w:rPr>
            </w:pPr>
            <w:r>
              <w:rPr>
                <w:bCs/>
                <w:i/>
                <w:szCs w:val="28"/>
              </w:rPr>
              <w:t xml:space="preserve">Đắk Lắk, ngày 08 tháng 10 </w:t>
            </w:r>
            <w:r w:rsidRPr="00F0179D">
              <w:rPr>
                <w:bCs/>
                <w:i/>
                <w:szCs w:val="28"/>
              </w:rPr>
              <w:t>năm 2020</w:t>
            </w:r>
          </w:p>
        </w:tc>
      </w:tr>
    </w:tbl>
    <w:p w:rsidR="006175AD" w:rsidRDefault="006175AD" w:rsidP="00021F92">
      <w:pPr>
        <w:shd w:val="clear" w:color="auto" w:fill="FFFFFF"/>
        <w:spacing w:after="0" w:line="240" w:lineRule="auto"/>
        <w:textAlignment w:val="top"/>
        <w:rPr>
          <w:bCs/>
          <w:sz w:val="24"/>
          <w:szCs w:val="24"/>
          <w:bdr w:val="none" w:sz="0" w:space="0" w:color="auto" w:frame="1"/>
        </w:rPr>
      </w:pPr>
    </w:p>
    <w:p w:rsidR="006175AD" w:rsidRPr="00021F92" w:rsidRDefault="006175AD" w:rsidP="00021F92">
      <w:pPr>
        <w:shd w:val="clear" w:color="auto" w:fill="FFFFFF"/>
        <w:spacing w:after="0" w:line="240" w:lineRule="auto"/>
        <w:textAlignment w:val="top"/>
        <w:rPr>
          <w:bCs/>
          <w:sz w:val="24"/>
          <w:szCs w:val="24"/>
          <w:bdr w:val="none" w:sz="0" w:space="0" w:color="auto" w:frame="1"/>
        </w:rPr>
      </w:pPr>
    </w:p>
    <w:p w:rsidR="006175AD" w:rsidRDefault="006175AD" w:rsidP="00906E49">
      <w:pPr>
        <w:shd w:val="clear" w:color="auto" w:fill="FFFFFF"/>
        <w:spacing w:after="0" w:line="240" w:lineRule="auto"/>
        <w:jc w:val="both"/>
        <w:textAlignment w:val="top"/>
        <w:rPr>
          <w:b/>
          <w:bCs/>
          <w:szCs w:val="28"/>
          <w:bdr w:val="none" w:sz="0" w:space="0" w:color="auto" w:frame="1"/>
        </w:rPr>
      </w:pPr>
      <w:r>
        <w:rPr>
          <w:b/>
          <w:bCs/>
          <w:szCs w:val="28"/>
          <w:bdr w:val="none" w:sz="0" w:space="0" w:color="auto" w:frame="1"/>
        </w:rPr>
        <w:tab/>
      </w:r>
      <w:r>
        <w:rPr>
          <w:b/>
          <w:bCs/>
          <w:szCs w:val="28"/>
          <w:bdr w:val="none" w:sz="0" w:space="0" w:color="auto" w:frame="1"/>
        </w:rPr>
        <w:tab/>
        <w:t>Kính gửi: - Các LĐLĐ huyện, thị xã, t</w:t>
      </w:r>
      <w:r w:rsidRPr="008C25F9">
        <w:rPr>
          <w:b/>
          <w:bCs/>
          <w:szCs w:val="28"/>
          <w:bdr w:val="none" w:sz="0" w:space="0" w:color="auto" w:frame="1"/>
        </w:rPr>
        <w:t>hành phố</w:t>
      </w:r>
      <w:r>
        <w:rPr>
          <w:b/>
          <w:bCs/>
          <w:szCs w:val="28"/>
          <w:bdr w:val="none" w:sz="0" w:space="0" w:color="auto" w:frame="1"/>
        </w:rPr>
        <w:t>;</w:t>
      </w:r>
    </w:p>
    <w:p w:rsidR="006175AD" w:rsidRPr="0075253C" w:rsidRDefault="006175AD" w:rsidP="00906E49">
      <w:pPr>
        <w:shd w:val="clear" w:color="auto" w:fill="FFFFFF"/>
        <w:spacing w:after="0" w:line="240" w:lineRule="auto"/>
        <w:jc w:val="both"/>
        <w:textAlignment w:val="top"/>
        <w:rPr>
          <w:b/>
          <w:bCs/>
          <w:color w:val="FF0000"/>
          <w:szCs w:val="28"/>
          <w:bdr w:val="none" w:sz="0" w:space="0" w:color="auto" w:frame="1"/>
        </w:rPr>
      </w:pPr>
      <w:r>
        <w:rPr>
          <w:b/>
          <w:bCs/>
          <w:szCs w:val="28"/>
          <w:bdr w:val="none" w:sz="0" w:space="0" w:color="auto" w:frame="1"/>
        </w:rPr>
        <w:tab/>
      </w:r>
      <w:r>
        <w:rPr>
          <w:b/>
          <w:bCs/>
          <w:szCs w:val="28"/>
          <w:bdr w:val="none" w:sz="0" w:space="0" w:color="auto" w:frame="1"/>
        </w:rPr>
        <w:tab/>
        <w:t xml:space="preserve">                 - Các </w:t>
      </w:r>
      <w:r w:rsidRPr="008C25F9">
        <w:rPr>
          <w:b/>
          <w:bCs/>
          <w:szCs w:val="28"/>
          <w:bdr w:val="none" w:sz="0" w:space="0" w:color="auto" w:frame="1"/>
        </w:rPr>
        <w:t>Công đoàn Ngành</w:t>
      </w:r>
      <w:r>
        <w:rPr>
          <w:b/>
          <w:bCs/>
          <w:szCs w:val="28"/>
          <w:bdr w:val="none" w:sz="0" w:space="0" w:color="auto" w:frame="1"/>
        </w:rPr>
        <w:t xml:space="preserve"> địa phương;</w:t>
      </w:r>
    </w:p>
    <w:p w:rsidR="006175AD" w:rsidRDefault="006175AD" w:rsidP="005E53CC">
      <w:pPr>
        <w:shd w:val="clear" w:color="auto" w:fill="FFFFFF"/>
        <w:spacing w:after="0" w:line="240" w:lineRule="auto"/>
        <w:jc w:val="both"/>
        <w:textAlignment w:val="top"/>
        <w:rPr>
          <w:b/>
          <w:bCs/>
          <w:color w:val="00B0F0"/>
          <w:szCs w:val="28"/>
          <w:bdr w:val="none" w:sz="0" w:space="0" w:color="auto" w:frame="1"/>
        </w:rPr>
      </w:pPr>
      <w:r w:rsidRPr="00BD7EC0">
        <w:rPr>
          <w:b/>
          <w:bCs/>
          <w:color w:val="00B0F0"/>
          <w:szCs w:val="28"/>
          <w:bdr w:val="none" w:sz="0" w:space="0" w:color="auto" w:frame="1"/>
        </w:rPr>
        <w:t xml:space="preserve">                                    </w:t>
      </w:r>
    </w:p>
    <w:p w:rsidR="006175AD" w:rsidRPr="00725801" w:rsidRDefault="006175AD" w:rsidP="005E53CC">
      <w:pPr>
        <w:shd w:val="clear" w:color="auto" w:fill="FFFFFF"/>
        <w:spacing w:after="0" w:line="240" w:lineRule="auto"/>
        <w:jc w:val="both"/>
        <w:textAlignment w:val="top"/>
        <w:rPr>
          <w:b/>
          <w:bCs/>
          <w:color w:val="00B0F0"/>
          <w:sz w:val="20"/>
          <w:szCs w:val="20"/>
          <w:bdr w:val="none" w:sz="0" w:space="0" w:color="auto" w:frame="1"/>
        </w:rPr>
      </w:pPr>
    </w:p>
    <w:p w:rsidR="006175AD" w:rsidRPr="00D4237A" w:rsidRDefault="006175AD" w:rsidP="00725801">
      <w:pPr>
        <w:shd w:val="clear" w:color="auto" w:fill="FFFFFF"/>
        <w:spacing w:before="80" w:after="0" w:line="240" w:lineRule="auto"/>
        <w:ind w:firstLine="567"/>
        <w:jc w:val="both"/>
        <w:textAlignment w:val="top"/>
        <w:rPr>
          <w:bCs/>
          <w:color w:val="FF0000"/>
          <w:szCs w:val="28"/>
          <w:bdr w:val="none" w:sz="0" w:space="0" w:color="auto" w:frame="1"/>
        </w:rPr>
      </w:pPr>
      <w:r w:rsidRPr="005E53CC">
        <w:rPr>
          <w:bCs/>
          <w:szCs w:val="28"/>
          <w:bdr w:val="none" w:sz="0" w:space="0" w:color="auto" w:frame="1"/>
        </w:rPr>
        <w:t>Thực hiện Kế hoạch số 59/KH-TLĐ ngày 04/9/2020 của Tổng Liên đoàn Lao động Việt Nam v/v triển khai thực hiện Kết luận số 80-KL/TW của Ban Bí thư Trung ương Đảng về việc tiếp tục thực hiện Chỉ thị số 32-CT/TWcủa Ban Bí thư về tăng</w:t>
      </w:r>
      <w:r w:rsidRPr="00FB4932">
        <w:rPr>
          <w:bCs/>
          <w:szCs w:val="28"/>
          <w:bdr w:val="none" w:sz="0" w:space="0" w:color="auto" w:frame="1"/>
        </w:rPr>
        <w:t xml:space="preserve"> cường sự lãnh đạo của Đảng trong công tác phổ biến, giáo dục ph</w:t>
      </w:r>
      <w:r>
        <w:rPr>
          <w:bCs/>
          <w:szCs w:val="28"/>
          <w:bdr w:val="none" w:sz="0" w:space="0" w:color="auto" w:frame="1"/>
        </w:rPr>
        <w:t>áp</w:t>
      </w:r>
      <w:r w:rsidRPr="00FB4932">
        <w:rPr>
          <w:bCs/>
          <w:szCs w:val="28"/>
          <w:bdr w:val="none" w:sz="0" w:space="0" w:color="auto" w:frame="1"/>
        </w:rPr>
        <w:t xml:space="preserve"> luật</w:t>
      </w:r>
      <w:r>
        <w:rPr>
          <w:bCs/>
          <w:szCs w:val="28"/>
          <w:bdr w:val="none" w:sz="0" w:space="0" w:color="auto" w:frame="1"/>
        </w:rPr>
        <w:t xml:space="preserve"> (PBGDPL)</w:t>
      </w:r>
      <w:r w:rsidRPr="00FB4932">
        <w:rPr>
          <w:bCs/>
          <w:szCs w:val="28"/>
          <w:bdr w:val="none" w:sz="0" w:space="0" w:color="auto" w:frame="1"/>
        </w:rPr>
        <w:t>, nâng cao ý thức chấp hành pháp luật của cán bộ, nhân dân</w:t>
      </w:r>
      <w:r>
        <w:rPr>
          <w:bCs/>
          <w:szCs w:val="28"/>
          <w:bdr w:val="none" w:sz="0" w:space="0" w:color="auto" w:frame="1"/>
        </w:rPr>
        <w:t xml:space="preserve"> (gọi tắt là Kết luận số 80-KL/TW)</w:t>
      </w:r>
      <w:r>
        <w:rPr>
          <w:bCs/>
          <w:color w:val="FF0000"/>
          <w:szCs w:val="28"/>
          <w:bdr w:val="none" w:sz="0" w:space="0" w:color="auto" w:frame="1"/>
        </w:rPr>
        <w:t xml:space="preserve">, </w:t>
      </w:r>
      <w:r w:rsidRPr="00B8494F">
        <w:rPr>
          <w:bCs/>
          <w:szCs w:val="28"/>
          <w:bdr w:val="none" w:sz="0" w:space="0" w:color="auto" w:frame="1"/>
        </w:rPr>
        <w:t>L</w:t>
      </w:r>
      <w:r>
        <w:rPr>
          <w:bCs/>
          <w:szCs w:val="28"/>
          <w:bdr w:val="none" w:sz="0" w:space="0" w:color="auto" w:frame="1"/>
        </w:rPr>
        <w:t xml:space="preserve">iên đoàn </w:t>
      </w:r>
      <w:r w:rsidRPr="00B8494F">
        <w:rPr>
          <w:bCs/>
          <w:szCs w:val="28"/>
          <w:bdr w:val="none" w:sz="0" w:space="0" w:color="auto" w:frame="1"/>
        </w:rPr>
        <w:t>L</w:t>
      </w:r>
      <w:r>
        <w:rPr>
          <w:bCs/>
          <w:szCs w:val="28"/>
          <w:bdr w:val="none" w:sz="0" w:space="0" w:color="auto" w:frame="1"/>
        </w:rPr>
        <w:t xml:space="preserve">ao động(LĐLĐ) </w:t>
      </w:r>
      <w:r w:rsidRPr="00B8494F">
        <w:rPr>
          <w:bCs/>
          <w:szCs w:val="28"/>
          <w:bdr w:val="none" w:sz="0" w:space="0" w:color="auto" w:frame="1"/>
        </w:rPr>
        <w:t>tỉnh đề nghị các LĐLĐ huyện, Thị xã, thành p</w:t>
      </w:r>
      <w:r>
        <w:rPr>
          <w:bCs/>
          <w:szCs w:val="28"/>
          <w:bdr w:val="none" w:sz="0" w:space="0" w:color="auto" w:frame="1"/>
        </w:rPr>
        <w:t xml:space="preserve">hố, Công đoàn ngành triển khai thực hiện </w:t>
      </w:r>
      <w:r w:rsidRPr="00C408E2">
        <w:t>các nộ</w:t>
      </w:r>
      <w:r>
        <w:t>i dung như sau:</w:t>
      </w:r>
    </w:p>
    <w:p w:rsidR="006175AD" w:rsidRDefault="006175AD" w:rsidP="00725801">
      <w:pPr>
        <w:shd w:val="clear" w:color="auto" w:fill="FFFFFF"/>
        <w:spacing w:before="80" w:after="0" w:line="240" w:lineRule="auto"/>
        <w:ind w:firstLine="567"/>
        <w:jc w:val="both"/>
        <w:textAlignment w:val="top"/>
        <w:rPr>
          <w:bCs/>
          <w:szCs w:val="28"/>
          <w:bdr w:val="none" w:sz="0" w:space="0" w:color="auto" w:frame="1"/>
        </w:rPr>
      </w:pPr>
      <w:r>
        <w:rPr>
          <w:bCs/>
          <w:szCs w:val="28"/>
          <w:bdr w:val="none" w:sz="0" w:space="0" w:color="auto" w:frame="1"/>
        </w:rPr>
        <w:t>1. Quán triệt sâu sắc tới công đoàn cơ sở, đội ngũ cán bộ công đoàn về vai trò, ý nghĩa, tầm quan trọng của công tác tuyên truyền, PBGDPL; xác định đây là một bộ phận của công tác giáo dục chính trị, tư tưởng, là nhiệm vụ của cả hệ thống chính trị và toàn xã hội, đặt dưới sự lãnh đạo của Đảng, Nhà nước</w:t>
      </w:r>
      <w:r>
        <w:rPr>
          <w:bCs/>
          <w:color w:val="FF0000"/>
          <w:szCs w:val="28"/>
          <w:bdr w:val="none" w:sz="0" w:space="0" w:color="auto" w:frame="1"/>
        </w:rPr>
        <w:t>;</w:t>
      </w:r>
      <w:r>
        <w:rPr>
          <w:bCs/>
          <w:szCs w:val="28"/>
          <w:bdr w:val="none" w:sz="0" w:space="0" w:color="auto" w:frame="1"/>
        </w:rPr>
        <w:t xml:space="preserve"> giữ vai trò nòng cốt, phát huy sự tham gia chủ động, tích cực của UBMTTQ Việt Nam, các tổ chức chính trị - xã hội, trong đó có tổ chức Công đoàn Việt Nam.</w:t>
      </w:r>
    </w:p>
    <w:p w:rsidR="006175AD" w:rsidRPr="005E53CC" w:rsidRDefault="006175AD" w:rsidP="00725801">
      <w:pPr>
        <w:shd w:val="clear" w:color="auto" w:fill="FFFFFF"/>
        <w:spacing w:before="80" w:after="0" w:line="240" w:lineRule="auto"/>
        <w:ind w:firstLine="567"/>
        <w:jc w:val="both"/>
        <w:textAlignment w:val="top"/>
        <w:rPr>
          <w:bCs/>
          <w:szCs w:val="28"/>
          <w:bdr w:val="none" w:sz="0" w:space="0" w:color="auto" w:frame="1"/>
        </w:rPr>
      </w:pPr>
      <w:r>
        <w:rPr>
          <w:bCs/>
          <w:szCs w:val="28"/>
          <w:bdr w:val="none" w:sz="0" w:space="0" w:color="auto" w:frame="1"/>
        </w:rPr>
        <w:tab/>
      </w:r>
      <w:r w:rsidRPr="005E53CC">
        <w:rPr>
          <w:bCs/>
          <w:szCs w:val="28"/>
          <w:bdr w:val="none" w:sz="0" w:space="0" w:color="auto" w:frame="1"/>
        </w:rPr>
        <w:t>2. Củng cố, kiện toàn, tăng cường tập huấn, bồi dưỡng, cập nhật kiến thức, kỹ năng tuyên truyền pháp luật cho đội ngũ cán bộ công đoàn cơ sở và cấp trên cơ sở làm công tác tuyên truyền, PBGDPL.</w:t>
      </w:r>
    </w:p>
    <w:p w:rsidR="006175AD" w:rsidRDefault="006175AD" w:rsidP="00725801">
      <w:pPr>
        <w:shd w:val="clear" w:color="auto" w:fill="FFFFFF"/>
        <w:spacing w:before="80" w:after="0" w:line="240" w:lineRule="auto"/>
        <w:ind w:firstLine="567"/>
        <w:jc w:val="both"/>
        <w:textAlignment w:val="top"/>
        <w:rPr>
          <w:bCs/>
          <w:szCs w:val="28"/>
          <w:bdr w:val="none" w:sz="0" w:space="0" w:color="auto" w:frame="1"/>
        </w:rPr>
      </w:pPr>
      <w:r>
        <w:rPr>
          <w:bCs/>
          <w:szCs w:val="28"/>
          <w:bdr w:val="none" w:sz="0" w:space="0" w:color="auto" w:frame="1"/>
        </w:rPr>
        <w:tab/>
        <w:t>3. Thực hiện đầy đủ các chính sách về công tác tuyên truyền, PBGDPL (Luật phổ biến giáo dục pháp luật, Nghị định số 28/2013/NĐ-CP quy định chi tiết một số điều và biện pháp thi hành Luật Phổ biến giáo dục pháp luật và những văn bản liên quan); nâng cao chất lượng tham gia xây dựng chính sách, pháp luật liên quan đến công nhân, lao động (CNLĐ); chủ động thương lượng với người sử dụng lao động ký kết và thực hiện thỏa ước lao động tập thể với những nội dung có lợi hơn quy định của pháp luật cho đoàn viên, CNLĐ; giải quyết tranh chấp lao động tập thể; đẩy mạnh công tác tham gia kiểm tra, giám sát, phản biện xã hội… góp phần nâng cao hiệu quả công tác tuyên truyền, PBGDPL.</w:t>
      </w:r>
    </w:p>
    <w:p w:rsidR="006175AD" w:rsidRPr="005E53CC" w:rsidRDefault="006175AD" w:rsidP="00725801">
      <w:pPr>
        <w:shd w:val="clear" w:color="auto" w:fill="FFFFFF"/>
        <w:spacing w:before="80" w:after="0" w:line="240" w:lineRule="auto"/>
        <w:ind w:firstLine="567"/>
        <w:jc w:val="both"/>
        <w:textAlignment w:val="top"/>
        <w:rPr>
          <w:bCs/>
          <w:szCs w:val="28"/>
          <w:bdr w:val="none" w:sz="0" w:space="0" w:color="auto" w:frame="1"/>
        </w:rPr>
      </w:pPr>
      <w:r>
        <w:rPr>
          <w:bCs/>
          <w:szCs w:val="28"/>
          <w:bdr w:val="none" w:sz="0" w:space="0" w:color="auto" w:frame="1"/>
        </w:rPr>
        <w:tab/>
        <w:t xml:space="preserve">4. Tổ chức triển khai công tác tuyên truyền, PBGDPL toàn diện, rộng khắp trong CNVCLĐ; hướng mạnh về cơ sở, đặc biệt quan tâm tới đối tượng CNLĐ trong các loại hình doanh nghiệp. Tuyên truyền, phổ biến chủ trương, đường lối của Đảng, chính sách </w:t>
      </w:r>
      <w:r w:rsidRPr="005E53CC">
        <w:rPr>
          <w:bCs/>
          <w:szCs w:val="28"/>
          <w:bdr w:val="none" w:sz="0" w:space="0" w:color="auto" w:frame="1"/>
        </w:rPr>
        <w:t>pháp luật của Nhà nước với những nội dung thiết thực, phù hợp với nhu cầu của CNLĐ như: nội dung cơ bản của Hiến pháp, pháp luật Lao động, Công đoàn, Bảo hiểm xã hội, Bảo hiểm Y tế, Bảo hiểm thất nghiệp, An toàn vệ sinh lao động, Luật Cán bộ công chức, Luật Viên chức, Luật Giao thông đường bộ, Luật Phòng, chống tác hại của thuốc lá, Luật Phòng, chống tác hại của rượu bia…</w:t>
      </w:r>
    </w:p>
    <w:p w:rsidR="006175AD" w:rsidRDefault="006175AD" w:rsidP="00725801">
      <w:pPr>
        <w:shd w:val="clear" w:color="auto" w:fill="FFFFFF"/>
        <w:spacing w:before="80" w:after="0" w:line="240" w:lineRule="auto"/>
        <w:ind w:firstLine="567"/>
        <w:jc w:val="both"/>
        <w:textAlignment w:val="top"/>
        <w:rPr>
          <w:bCs/>
          <w:szCs w:val="28"/>
          <w:bdr w:val="none" w:sz="0" w:space="0" w:color="auto" w:frame="1"/>
        </w:rPr>
      </w:pPr>
      <w:r w:rsidRPr="005E53CC">
        <w:rPr>
          <w:bCs/>
          <w:szCs w:val="28"/>
          <w:bdr w:val="none" w:sz="0" w:space="0" w:color="auto" w:frame="1"/>
        </w:rPr>
        <w:tab/>
        <w:t>5. Công đoàn cấp trên trực tiếp cơ sở cần chỉ đạo công đoàn cơ sở</w:t>
      </w:r>
      <w:r>
        <w:rPr>
          <w:bCs/>
          <w:color w:val="FF0000"/>
          <w:szCs w:val="28"/>
          <w:bdr w:val="none" w:sz="0" w:space="0" w:color="auto" w:frame="1"/>
        </w:rPr>
        <w:t xml:space="preserve"> </w:t>
      </w:r>
      <w:r>
        <w:rPr>
          <w:bCs/>
          <w:szCs w:val="28"/>
          <w:bdr w:val="none" w:sz="0" w:space="0" w:color="auto" w:frame="1"/>
        </w:rPr>
        <w:t xml:space="preserve">phối hợp với người sử dụng lao động tổ chức tuyên truyền bằng nhiều hình thức linh hoạt, phù hợp với điều </w:t>
      </w:r>
      <w:r w:rsidRPr="005E53CC">
        <w:rPr>
          <w:bCs/>
          <w:szCs w:val="28"/>
          <w:bdr w:val="none" w:sz="0" w:space="0" w:color="auto" w:frame="1"/>
        </w:rPr>
        <w:t>kiện sống</w:t>
      </w:r>
      <w:r>
        <w:rPr>
          <w:bCs/>
          <w:color w:val="FF0000"/>
          <w:szCs w:val="28"/>
          <w:bdr w:val="none" w:sz="0" w:space="0" w:color="auto" w:frame="1"/>
        </w:rPr>
        <w:t xml:space="preserve"> </w:t>
      </w:r>
      <w:r>
        <w:rPr>
          <w:bCs/>
          <w:szCs w:val="28"/>
          <w:bdr w:val="none" w:sz="0" w:space="0" w:color="auto" w:frame="1"/>
        </w:rPr>
        <w:t xml:space="preserve">và làm việc của CNLĐ (sử dụng hệ thống loa truyền thanh nội bộ, bảng tin, cổ động trực quan, tủ sách pháp luật tại cơ sở; mạng xã hội…); phối hợp hoạt động của </w:t>
      </w:r>
      <w:r w:rsidRPr="00857623">
        <w:rPr>
          <w:szCs w:val="28"/>
          <w:lang w:val="sv-SE"/>
        </w:rPr>
        <w:t>Tổ tự quản trong Khu tập thể</w:t>
      </w:r>
      <w:r>
        <w:rPr>
          <w:szCs w:val="28"/>
          <w:lang w:val="sv-SE"/>
        </w:rPr>
        <w:t xml:space="preserve"> công nhân</w:t>
      </w:r>
      <w:r w:rsidRPr="00857623">
        <w:rPr>
          <w:szCs w:val="28"/>
          <w:lang w:val="sv-SE"/>
        </w:rPr>
        <w:t xml:space="preserve">, </w:t>
      </w:r>
      <w:r>
        <w:rPr>
          <w:bCs/>
          <w:szCs w:val="28"/>
          <w:bdr w:val="none" w:sz="0" w:space="0" w:color="auto" w:frame="1"/>
        </w:rPr>
        <w:t xml:space="preserve">lực lượng công nhân nòng cốt tại doanh nghiệp trong công tác tuyên truyền; tổ chức các chiến dịch tuyên truyền, PBGDPL trong CNVCLĐ, nhất là vào dịp hưởng ứng “Ngày Pháp luật </w:t>
      </w:r>
      <w:r w:rsidRPr="005E53CC">
        <w:rPr>
          <w:bCs/>
          <w:szCs w:val="28"/>
          <w:bdr w:val="none" w:sz="0" w:space="0" w:color="auto" w:frame="1"/>
        </w:rPr>
        <w:t>N</w:t>
      </w:r>
      <w:r>
        <w:rPr>
          <w:bCs/>
          <w:szCs w:val="28"/>
          <w:bdr w:val="none" w:sz="0" w:space="0" w:color="auto" w:frame="1"/>
        </w:rPr>
        <w:t>ước Cộng hòa xã hội chủ nghĩa Việt Nam 09/11”.</w:t>
      </w:r>
    </w:p>
    <w:p w:rsidR="006175AD" w:rsidRPr="005E53CC" w:rsidRDefault="006175AD" w:rsidP="00725801">
      <w:pPr>
        <w:shd w:val="clear" w:color="auto" w:fill="FFFFFF"/>
        <w:spacing w:before="80" w:after="0" w:line="240" w:lineRule="auto"/>
        <w:ind w:firstLine="567"/>
        <w:jc w:val="both"/>
        <w:textAlignment w:val="top"/>
        <w:rPr>
          <w:bCs/>
          <w:szCs w:val="28"/>
          <w:bdr w:val="none" w:sz="0" w:space="0" w:color="auto" w:frame="1"/>
        </w:rPr>
      </w:pPr>
      <w:r>
        <w:rPr>
          <w:bCs/>
          <w:szCs w:val="28"/>
          <w:bdr w:val="none" w:sz="0" w:space="0" w:color="auto" w:frame="1"/>
        </w:rPr>
        <w:tab/>
      </w:r>
      <w:r w:rsidRPr="005E53CC">
        <w:rPr>
          <w:bCs/>
          <w:szCs w:val="28"/>
          <w:bdr w:val="none" w:sz="0" w:space="0" w:color="auto" w:frame="1"/>
        </w:rPr>
        <w:t>6. Đối với các công đoàn cấp trên cơ sở có nhiều công đoàn cơ sở doanh nghiệp cần hướng dẫn công đoàn cở sở phối hợp với người sử dụng lao động tổ chức các hoạt động tuyên truyền, PBGDPL tới CNLĐ trong doanh nghiệp, góp phần bảo vệ quyền và lợi ích hợp pháp, chính đáng của tổ chức công đoàn đối với đoàn viên và người lao động.</w:t>
      </w:r>
    </w:p>
    <w:p w:rsidR="006175AD" w:rsidRPr="005E53CC" w:rsidRDefault="006175AD" w:rsidP="00725801">
      <w:pPr>
        <w:shd w:val="clear" w:color="auto" w:fill="FFFFFF"/>
        <w:spacing w:before="80" w:after="0" w:line="240" w:lineRule="auto"/>
        <w:ind w:firstLine="567"/>
        <w:jc w:val="both"/>
        <w:textAlignment w:val="top"/>
        <w:rPr>
          <w:bCs/>
          <w:i/>
          <w:szCs w:val="28"/>
          <w:bdr w:val="none" w:sz="0" w:space="0" w:color="auto" w:frame="1"/>
        </w:rPr>
      </w:pPr>
      <w:r w:rsidRPr="005E53CC">
        <w:rPr>
          <w:bCs/>
          <w:szCs w:val="28"/>
          <w:bdr w:val="none" w:sz="0" w:space="0" w:color="auto" w:frame="1"/>
        </w:rPr>
        <w:tab/>
      </w:r>
      <w:r w:rsidRPr="005E53CC">
        <w:rPr>
          <w:bCs/>
          <w:i/>
          <w:szCs w:val="28"/>
          <w:bdr w:val="none" w:sz="0" w:space="0" w:color="auto" w:frame="1"/>
        </w:rPr>
        <w:t>7. Đối với các Ban, đơn vị trực thuộc LĐLĐ tỉnh:</w:t>
      </w:r>
    </w:p>
    <w:p w:rsidR="006175AD" w:rsidRPr="005E53CC" w:rsidRDefault="006175AD" w:rsidP="00725801">
      <w:pPr>
        <w:shd w:val="clear" w:color="auto" w:fill="FFFFFF"/>
        <w:spacing w:before="80" w:after="0" w:line="240" w:lineRule="auto"/>
        <w:ind w:firstLine="567"/>
        <w:jc w:val="both"/>
        <w:textAlignment w:val="top"/>
        <w:rPr>
          <w:bCs/>
          <w:szCs w:val="28"/>
          <w:bdr w:val="none" w:sz="0" w:space="0" w:color="auto" w:frame="1"/>
        </w:rPr>
      </w:pPr>
      <w:r w:rsidRPr="005E53CC">
        <w:rPr>
          <w:bCs/>
          <w:szCs w:val="28"/>
          <w:bdr w:val="none" w:sz="0" w:space="0" w:color="auto" w:frame="1"/>
        </w:rPr>
        <w:tab/>
        <w:t>7.1. Ban Tuyên giáo và Nữ công tham mưu ban hành công văn hướng dẫn thực hiện Kế hoạch số 59/KH-TLĐ. Tích cực, thường xuyên tham mưu cho LĐLĐ tỉnh phối hợp các cơ quan liên quan như Ban Tuyên giáo Tỉnh ủy, Bảo hiểm xã hội tỉnh, Công an tỉnh, Ban An toàn giao thông tỉnh…tổ chức tuyên truyền, phổ biến pháp luật cho đoàn viên, nhất là pháp luật liên quan trực tiếp đến quyền lợi và nghĩa vụ của người lao động. Tăng cường tuyên truyền, phản ánh kết quả Công tác PBGDPL và gương điển hình trong công tác này trên Trang Thông tin điện tử LĐLĐ tỉnh. Theo dõi, đôn đốc, tổng hợp tỉnh hình, tham mưu báo cáo kết quả Công tác PBGDPL của các cấp CĐ về Tổng Liên đoàn.</w:t>
      </w:r>
    </w:p>
    <w:p w:rsidR="006175AD" w:rsidRPr="005E53CC" w:rsidRDefault="006175AD" w:rsidP="00725801">
      <w:pPr>
        <w:shd w:val="clear" w:color="auto" w:fill="FFFFFF"/>
        <w:spacing w:before="80" w:after="0" w:line="240" w:lineRule="auto"/>
        <w:ind w:firstLine="567"/>
        <w:jc w:val="both"/>
        <w:textAlignment w:val="top"/>
        <w:rPr>
          <w:bCs/>
          <w:szCs w:val="28"/>
          <w:bdr w:val="none" w:sz="0" w:space="0" w:color="auto" w:frame="1"/>
        </w:rPr>
      </w:pPr>
      <w:r w:rsidRPr="005E53CC">
        <w:rPr>
          <w:bCs/>
          <w:szCs w:val="28"/>
          <w:bdr w:val="none" w:sz="0" w:space="0" w:color="auto" w:frame="1"/>
        </w:rPr>
        <w:tab/>
        <w:t>7.2. Ban Chính sách-Pháp luật theo dõi tình hình thực hiện chế độ chính sách, pháp luật đối với người lao động, qua đó, phát hiện những nội dung chưa phù hợp để tham mưu cho LĐLĐ tỉnh kiến nghị bổ sung, sửa đổi khi có yêu cầu của Tổng Liên đoàn về lấy ý kiến xây dựng chính sách, pháp luật liên quan trực tiếp đến người lao động. Tham mưu cho LĐLĐ tỉnh hướng dẫn công đoàn cơ sở nâng cao chất lượng ký kết thỏa ước lao động tập thể theo chỉ đạo của Tổng Liên đoàn.</w:t>
      </w:r>
    </w:p>
    <w:p w:rsidR="006175AD" w:rsidRPr="005E53CC" w:rsidRDefault="006175AD" w:rsidP="00725801">
      <w:pPr>
        <w:shd w:val="clear" w:color="auto" w:fill="FFFFFF"/>
        <w:spacing w:before="80" w:after="0" w:line="240" w:lineRule="auto"/>
        <w:ind w:firstLine="567"/>
        <w:jc w:val="both"/>
        <w:textAlignment w:val="top"/>
        <w:rPr>
          <w:bCs/>
          <w:szCs w:val="28"/>
          <w:bdr w:val="none" w:sz="0" w:space="0" w:color="auto" w:frame="1"/>
        </w:rPr>
      </w:pPr>
      <w:r w:rsidRPr="005E53CC">
        <w:rPr>
          <w:bCs/>
          <w:szCs w:val="28"/>
          <w:bdr w:val="none" w:sz="0" w:space="0" w:color="auto" w:frame="1"/>
        </w:rPr>
        <w:tab/>
        <w:t>7.3. Trung tâm Tư vấn pháp luật Công đoàn tỉnh đẩy mạnh công tác tư vấn pháp luật cho đoàn viên, người lao động, nhất là pháp luật về lao động, công đoàn; duy trì tốt Chuyên mục Hỏi-Đáp pháp luật trện Trang Thông tin điện tử LĐLĐ tỉnh, góp phần nâng cao hiểu biết pháp luật cho cán bộ, đoàn viên công đoàn.</w:t>
      </w:r>
    </w:p>
    <w:p w:rsidR="006175AD" w:rsidRDefault="006175AD" w:rsidP="00725801">
      <w:pPr>
        <w:shd w:val="clear" w:color="auto" w:fill="FFFFFF"/>
        <w:spacing w:before="80" w:after="0" w:line="240" w:lineRule="auto"/>
        <w:ind w:firstLine="567"/>
        <w:jc w:val="both"/>
        <w:textAlignment w:val="top"/>
        <w:rPr>
          <w:color w:val="000000"/>
          <w:szCs w:val="28"/>
        </w:rPr>
      </w:pPr>
      <w:r>
        <w:rPr>
          <w:b/>
          <w:bCs/>
          <w:szCs w:val="28"/>
          <w:bdr w:val="none" w:sz="0" w:space="0" w:color="auto" w:frame="1"/>
        </w:rPr>
        <w:tab/>
      </w:r>
      <w:r>
        <w:rPr>
          <w:bCs/>
          <w:color w:val="FF0000"/>
          <w:szCs w:val="28"/>
          <w:bdr w:val="none" w:sz="0" w:space="0" w:color="auto" w:frame="1"/>
        </w:rPr>
        <w:t xml:space="preserve"> </w:t>
      </w:r>
      <w:r>
        <w:rPr>
          <w:color w:val="000000"/>
          <w:szCs w:val="28"/>
        </w:rPr>
        <w:t xml:space="preserve">Đề nghị các Công đoàn cấp trên cơ sở triển khai  thực hiện và tổng hơp báo cáo kết quả về LĐLĐ </w:t>
      </w:r>
      <w:r w:rsidRPr="00A245E4">
        <w:rPr>
          <w:szCs w:val="28"/>
        </w:rPr>
        <w:t>tỉnh (qua</w:t>
      </w:r>
      <w:r>
        <w:rPr>
          <w:color w:val="000000"/>
          <w:szCs w:val="28"/>
        </w:rPr>
        <w:t xml:space="preserve"> Ban Tuyên giáo và Nữ công theo địa chỉ Email: </w:t>
      </w:r>
      <w:hyperlink r:id="rId7" w:history="1">
        <w:r w:rsidRPr="00B208BD">
          <w:rPr>
            <w:rStyle w:val="Hyperlink"/>
            <w:b/>
            <w:i/>
            <w:szCs w:val="28"/>
          </w:rPr>
          <w:t>tuyengiaoldlddaklak@gmail.com</w:t>
        </w:r>
      </w:hyperlink>
      <w:r w:rsidRPr="005E53CC">
        <w:rPr>
          <w:rStyle w:val="Hyperlink"/>
          <w:color w:val="auto"/>
          <w:szCs w:val="28"/>
          <w:u w:val="none"/>
        </w:rPr>
        <w:t xml:space="preserve">) </w:t>
      </w:r>
      <w:r w:rsidRPr="005E53CC">
        <w:rPr>
          <w:szCs w:val="28"/>
        </w:rPr>
        <w:t>trước ngày 15</w:t>
      </w:r>
      <w:r>
        <w:rPr>
          <w:color w:val="000000"/>
          <w:szCs w:val="28"/>
        </w:rPr>
        <w:t>/11 hàng năm để tổng hợp, báo cáo về Ban Tuyên giáo Tổng Liên đoàn</w:t>
      </w:r>
      <w:r w:rsidRPr="007D6B36">
        <w:rPr>
          <w:color w:val="000000"/>
          <w:szCs w:val="28"/>
        </w:rPr>
        <w:t>./.</w:t>
      </w:r>
    </w:p>
    <w:p w:rsidR="006175AD" w:rsidRDefault="006175AD" w:rsidP="00725801">
      <w:pPr>
        <w:shd w:val="clear" w:color="auto" w:fill="FFFFFF"/>
        <w:spacing w:before="60" w:after="0" w:line="240" w:lineRule="auto"/>
        <w:ind w:firstLine="567"/>
        <w:jc w:val="both"/>
        <w:textAlignment w:val="top"/>
        <w:rPr>
          <w:color w:val="000000"/>
          <w:szCs w:val="28"/>
        </w:rPr>
      </w:pPr>
    </w:p>
    <w:tbl>
      <w:tblPr>
        <w:tblW w:w="0" w:type="auto"/>
        <w:tblLook w:val="00A0"/>
      </w:tblPr>
      <w:tblGrid>
        <w:gridCol w:w="4781"/>
        <w:gridCol w:w="4839"/>
      </w:tblGrid>
      <w:tr w:rsidR="006175AD" w:rsidTr="00BB52CB">
        <w:tc>
          <w:tcPr>
            <w:tcW w:w="5058" w:type="dxa"/>
          </w:tcPr>
          <w:p w:rsidR="006175AD" w:rsidRPr="00BB52CB" w:rsidRDefault="006175AD" w:rsidP="00BB52CB">
            <w:pPr>
              <w:shd w:val="clear" w:color="auto" w:fill="FFFFFF"/>
              <w:spacing w:after="0" w:line="240" w:lineRule="auto"/>
              <w:jc w:val="both"/>
              <w:textAlignment w:val="top"/>
              <w:rPr>
                <w:color w:val="000000"/>
                <w:sz w:val="24"/>
                <w:szCs w:val="24"/>
              </w:rPr>
            </w:pPr>
            <w:r w:rsidRPr="00BB52CB">
              <w:rPr>
                <w:b/>
                <w:i/>
                <w:color w:val="000000"/>
                <w:sz w:val="24"/>
                <w:szCs w:val="24"/>
              </w:rPr>
              <w:t>Nơi nhận</w:t>
            </w:r>
            <w:r w:rsidRPr="00BB52CB">
              <w:rPr>
                <w:color w:val="000000"/>
                <w:sz w:val="24"/>
                <w:szCs w:val="24"/>
              </w:rPr>
              <w:t>:</w:t>
            </w:r>
            <w:r w:rsidRPr="00BB52CB">
              <w:rPr>
                <w:color w:val="000000"/>
                <w:sz w:val="24"/>
                <w:szCs w:val="24"/>
              </w:rPr>
              <w:tab/>
            </w:r>
            <w:r w:rsidRPr="00BB52CB">
              <w:rPr>
                <w:color w:val="000000"/>
                <w:sz w:val="24"/>
                <w:szCs w:val="24"/>
              </w:rPr>
              <w:tab/>
            </w:r>
            <w:r w:rsidRPr="00BB52CB">
              <w:rPr>
                <w:color w:val="000000"/>
                <w:sz w:val="24"/>
                <w:szCs w:val="24"/>
              </w:rPr>
              <w:tab/>
            </w:r>
            <w:r w:rsidRPr="00BB52CB">
              <w:rPr>
                <w:color w:val="000000"/>
                <w:sz w:val="24"/>
                <w:szCs w:val="24"/>
              </w:rPr>
              <w:tab/>
            </w:r>
            <w:r w:rsidRPr="00BB52CB">
              <w:rPr>
                <w:color w:val="000000"/>
                <w:sz w:val="24"/>
                <w:szCs w:val="24"/>
              </w:rPr>
              <w:tab/>
            </w:r>
          </w:p>
          <w:p w:rsidR="006175AD" w:rsidRPr="00BB52CB" w:rsidRDefault="006175AD" w:rsidP="00BB52CB">
            <w:pPr>
              <w:shd w:val="clear" w:color="auto" w:fill="FFFFFF"/>
              <w:spacing w:after="0" w:line="240" w:lineRule="auto"/>
              <w:jc w:val="both"/>
              <w:textAlignment w:val="top"/>
              <w:rPr>
                <w:color w:val="000000"/>
                <w:sz w:val="24"/>
                <w:szCs w:val="24"/>
              </w:rPr>
            </w:pPr>
            <w:r w:rsidRPr="00BB52CB">
              <w:rPr>
                <w:color w:val="000000"/>
                <w:sz w:val="24"/>
                <w:szCs w:val="24"/>
              </w:rPr>
              <w:t>- Như trên;</w:t>
            </w:r>
            <w:r w:rsidRPr="00BB52CB">
              <w:rPr>
                <w:color w:val="000000"/>
                <w:sz w:val="24"/>
                <w:szCs w:val="24"/>
              </w:rPr>
              <w:tab/>
            </w:r>
            <w:r w:rsidRPr="00BB52CB">
              <w:rPr>
                <w:color w:val="000000"/>
                <w:sz w:val="24"/>
                <w:szCs w:val="24"/>
              </w:rPr>
              <w:tab/>
            </w:r>
            <w:r w:rsidRPr="00BB52CB">
              <w:rPr>
                <w:color w:val="000000"/>
                <w:sz w:val="24"/>
                <w:szCs w:val="24"/>
              </w:rPr>
              <w:tab/>
            </w:r>
            <w:r w:rsidRPr="00BB52CB">
              <w:rPr>
                <w:color w:val="000000"/>
                <w:sz w:val="24"/>
                <w:szCs w:val="24"/>
              </w:rPr>
              <w:tab/>
            </w:r>
            <w:r w:rsidRPr="00BB52CB">
              <w:rPr>
                <w:color w:val="000000"/>
                <w:sz w:val="24"/>
                <w:szCs w:val="24"/>
              </w:rPr>
              <w:tab/>
            </w:r>
          </w:p>
          <w:p w:rsidR="006175AD" w:rsidRPr="00BB52CB" w:rsidRDefault="006175AD" w:rsidP="00BB52CB">
            <w:pPr>
              <w:shd w:val="clear" w:color="auto" w:fill="FFFFFF"/>
              <w:spacing w:after="0" w:line="240" w:lineRule="auto"/>
              <w:jc w:val="both"/>
              <w:textAlignment w:val="top"/>
              <w:rPr>
                <w:sz w:val="24"/>
                <w:szCs w:val="24"/>
              </w:rPr>
            </w:pPr>
            <w:r w:rsidRPr="00BB52CB">
              <w:rPr>
                <w:color w:val="000000"/>
                <w:sz w:val="24"/>
                <w:szCs w:val="24"/>
              </w:rPr>
              <w:t>- Ban TG TLĐ</w:t>
            </w:r>
            <w:r w:rsidRPr="00BB52CB">
              <w:rPr>
                <w:sz w:val="24"/>
                <w:szCs w:val="24"/>
              </w:rPr>
              <w:t>(b/c);</w:t>
            </w:r>
          </w:p>
          <w:p w:rsidR="006175AD" w:rsidRPr="00BB52CB" w:rsidRDefault="006175AD" w:rsidP="00BB52CB">
            <w:pPr>
              <w:shd w:val="clear" w:color="auto" w:fill="FFFFFF"/>
              <w:spacing w:after="0" w:line="240" w:lineRule="auto"/>
              <w:jc w:val="both"/>
              <w:textAlignment w:val="top"/>
              <w:rPr>
                <w:sz w:val="24"/>
                <w:szCs w:val="24"/>
              </w:rPr>
            </w:pPr>
            <w:r w:rsidRPr="00BB52CB">
              <w:rPr>
                <w:sz w:val="24"/>
                <w:szCs w:val="24"/>
              </w:rPr>
              <w:t>- TT LĐLĐ tỉnh;</w:t>
            </w:r>
          </w:p>
          <w:p w:rsidR="006175AD" w:rsidRPr="00BB52CB" w:rsidRDefault="006175AD" w:rsidP="00BB52CB">
            <w:pPr>
              <w:shd w:val="clear" w:color="auto" w:fill="FFFFFF"/>
              <w:spacing w:after="0" w:line="240" w:lineRule="auto"/>
              <w:jc w:val="both"/>
              <w:textAlignment w:val="top"/>
              <w:rPr>
                <w:sz w:val="24"/>
                <w:szCs w:val="24"/>
              </w:rPr>
            </w:pPr>
            <w:r w:rsidRPr="00BB52CB">
              <w:rPr>
                <w:sz w:val="24"/>
                <w:szCs w:val="24"/>
              </w:rPr>
              <w:t>- Ban CS-PL, TTTVPLCĐ;</w:t>
            </w:r>
          </w:p>
          <w:p w:rsidR="006175AD" w:rsidRPr="00BB52CB" w:rsidRDefault="006175AD" w:rsidP="00BB52CB">
            <w:pPr>
              <w:shd w:val="clear" w:color="auto" w:fill="FFFFFF"/>
              <w:spacing w:after="0" w:line="240" w:lineRule="auto"/>
              <w:jc w:val="both"/>
              <w:textAlignment w:val="top"/>
              <w:rPr>
                <w:color w:val="000000"/>
                <w:sz w:val="24"/>
                <w:szCs w:val="24"/>
              </w:rPr>
            </w:pPr>
            <w:r w:rsidRPr="00BB52CB">
              <w:rPr>
                <w:color w:val="000000"/>
                <w:sz w:val="24"/>
                <w:szCs w:val="24"/>
              </w:rPr>
              <w:t>- Lưu VT, TG&amp;NC</w:t>
            </w:r>
          </w:p>
          <w:p w:rsidR="006175AD" w:rsidRPr="00BB52CB" w:rsidRDefault="006175AD" w:rsidP="00BB52CB">
            <w:pPr>
              <w:shd w:val="clear" w:color="auto" w:fill="FFFFFF"/>
              <w:tabs>
                <w:tab w:val="left" w:pos="6555"/>
              </w:tabs>
              <w:spacing w:after="0" w:line="240" w:lineRule="auto"/>
              <w:ind w:firstLine="360"/>
              <w:jc w:val="both"/>
              <w:textAlignment w:val="top"/>
              <w:rPr>
                <w:color w:val="000000"/>
                <w:sz w:val="24"/>
                <w:szCs w:val="24"/>
              </w:rPr>
            </w:pPr>
          </w:p>
          <w:p w:rsidR="006175AD" w:rsidRPr="00BB52CB" w:rsidRDefault="006175AD" w:rsidP="00BB52CB">
            <w:pPr>
              <w:shd w:val="clear" w:color="auto" w:fill="FFFFFF"/>
              <w:tabs>
                <w:tab w:val="left" w:pos="6555"/>
              </w:tabs>
              <w:spacing w:after="0" w:line="240" w:lineRule="auto"/>
              <w:ind w:firstLine="360"/>
              <w:jc w:val="both"/>
              <w:textAlignment w:val="top"/>
              <w:rPr>
                <w:color w:val="000000"/>
                <w:sz w:val="24"/>
                <w:szCs w:val="24"/>
              </w:rPr>
            </w:pPr>
          </w:p>
          <w:p w:rsidR="006175AD" w:rsidRPr="00BB52CB" w:rsidRDefault="006175AD" w:rsidP="00BB52CB">
            <w:pPr>
              <w:spacing w:before="120" w:after="0" w:line="240" w:lineRule="auto"/>
              <w:jc w:val="both"/>
              <w:textAlignment w:val="top"/>
              <w:rPr>
                <w:color w:val="000000"/>
                <w:szCs w:val="28"/>
              </w:rPr>
            </w:pPr>
          </w:p>
        </w:tc>
        <w:tc>
          <w:tcPr>
            <w:tcW w:w="5058" w:type="dxa"/>
          </w:tcPr>
          <w:p w:rsidR="006175AD" w:rsidRPr="00BB52CB" w:rsidRDefault="006175AD" w:rsidP="00BB52CB">
            <w:pPr>
              <w:spacing w:after="0" w:line="240" w:lineRule="auto"/>
              <w:jc w:val="center"/>
              <w:textAlignment w:val="top"/>
              <w:rPr>
                <w:b/>
                <w:color w:val="000000"/>
                <w:szCs w:val="28"/>
              </w:rPr>
            </w:pPr>
            <w:r w:rsidRPr="00BB52CB">
              <w:rPr>
                <w:b/>
                <w:color w:val="000000"/>
                <w:szCs w:val="28"/>
              </w:rPr>
              <w:t>TM. BAN THƯỜNG VỤ</w:t>
            </w:r>
          </w:p>
          <w:p w:rsidR="006175AD" w:rsidRPr="00BB52CB" w:rsidRDefault="006175AD" w:rsidP="00BB52CB">
            <w:pPr>
              <w:spacing w:after="0" w:line="240" w:lineRule="auto"/>
              <w:jc w:val="center"/>
              <w:textAlignment w:val="top"/>
              <w:rPr>
                <w:b/>
                <w:color w:val="000000"/>
                <w:szCs w:val="28"/>
              </w:rPr>
            </w:pPr>
            <w:r w:rsidRPr="00BB52CB">
              <w:rPr>
                <w:b/>
                <w:color w:val="000000"/>
                <w:szCs w:val="28"/>
              </w:rPr>
              <w:t>PHÓ CHỦ TỊCH THƯỜNG TRỰC</w:t>
            </w:r>
          </w:p>
          <w:p w:rsidR="006175AD" w:rsidRPr="00BB52CB" w:rsidRDefault="006175AD" w:rsidP="00BB52CB">
            <w:pPr>
              <w:spacing w:after="0" w:line="240" w:lineRule="auto"/>
              <w:jc w:val="center"/>
              <w:textAlignment w:val="top"/>
              <w:rPr>
                <w:b/>
                <w:color w:val="000000"/>
                <w:szCs w:val="28"/>
              </w:rPr>
            </w:pPr>
          </w:p>
          <w:p w:rsidR="006175AD" w:rsidRDefault="006175AD" w:rsidP="00AD2CC6">
            <w:pPr>
              <w:tabs>
                <w:tab w:val="left" w:pos="1650"/>
              </w:tabs>
              <w:spacing w:after="0" w:line="240" w:lineRule="auto"/>
              <w:textAlignment w:val="top"/>
              <w:rPr>
                <w:b/>
                <w:color w:val="000000"/>
                <w:szCs w:val="28"/>
              </w:rPr>
            </w:pPr>
            <w:r>
              <w:rPr>
                <w:b/>
                <w:color w:val="000000"/>
                <w:szCs w:val="28"/>
              </w:rPr>
              <w:tab/>
              <w:t>(đã ký)</w:t>
            </w:r>
          </w:p>
          <w:p w:rsidR="006175AD" w:rsidRDefault="006175AD" w:rsidP="00AD2CC6">
            <w:pPr>
              <w:spacing w:after="0" w:line="240" w:lineRule="auto"/>
              <w:textAlignment w:val="top"/>
              <w:rPr>
                <w:b/>
                <w:color w:val="000000"/>
                <w:szCs w:val="28"/>
              </w:rPr>
            </w:pPr>
          </w:p>
          <w:p w:rsidR="006175AD" w:rsidRPr="00BB52CB" w:rsidRDefault="006175AD" w:rsidP="00AD2CC6">
            <w:pPr>
              <w:spacing w:after="0" w:line="240" w:lineRule="auto"/>
              <w:textAlignment w:val="top"/>
              <w:rPr>
                <w:b/>
                <w:color w:val="000000"/>
                <w:szCs w:val="28"/>
              </w:rPr>
            </w:pPr>
          </w:p>
          <w:p w:rsidR="006175AD" w:rsidRPr="00BB52CB" w:rsidRDefault="006175AD" w:rsidP="00BB52CB">
            <w:pPr>
              <w:shd w:val="clear" w:color="auto" w:fill="FFFFFF"/>
              <w:spacing w:after="0" w:line="240" w:lineRule="auto"/>
              <w:ind w:firstLine="360"/>
              <w:jc w:val="center"/>
              <w:textAlignment w:val="top"/>
              <w:rPr>
                <w:b/>
                <w:color w:val="000000"/>
                <w:szCs w:val="28"/>
              </w:rPr>
            </w:pPr>
          </w:p>
          <w:p w:rsidR="006175AD" w:rsidRPr="00BB52CB" w:rsidRDefault="006175AD" w:rsidP="00BB52CB">
            <w:pPr>
              <w:shd w:val="clear" w:color="auto" w:fill="FFFFFF"/>
              <w:spacing w:after="0" w:line="240" w:lineRule="auto"/>
              <w:ind w:firstLine="360"/>
              <w:jc w:val="center"/>
              <w:textAlignment w:val="top"/>
              <w:rPr>
                <w:color w:val="000000"/>
                <w:sz w:val="24"/>
                <w:szCs w:val="24"/>
              </w:rPr>
            </w:pPr>
            <w:r w:rsidRPr="00BB52CB">
              <w:rPr>
                <w:b/>
                <w:color w:val="000000"/>
                <w:szCs w:val="28"/>
              </w:rPr>
              <w:t>Võ Thị Hạnh</w:t>
            </w:r>
          </w:p>
          <w:p w:rsidR="006175AD" w:rsidRPr="00BB52CB" w:rsidRDefault="006175AD" w:rsidP="00BB52CB">
            <w:pPr>
              <w:spacing w:after="0" w:line="240" w:lineRule="auto"/>
              <w:jc w:val="both"/>
              <w:textAlignment w:val="top"/>
              <w:rPr>
                <w:color w:val="000000"/>
                <w:szCs w:val="28"/>
              </w:rPr>
            </w:pPr>
          </w:p>
        </w:tc>
      </w:tr>
    </w:tbl>
    <w:p w:rsidR="006175AD" w:rsidRPr="007D6B36" w:rsidRDefault="006175AD" w:rsidP="00906E49">
      <w:pPr>
        <w:shd w:val="clear" w:color="auto" w:fill="FFFFFF"/>
        <w:spacing w:before="120" w:after="0" w:line="240" w:lineRule="auto"/>
        <w:jc w:val="both"/>
        <w:textAlignment w:val="top"/>
        <w:rPr>
          <w:color w:val="000000"/>
          <w:szCs w:val="28"/>
        </w:rPr>
      </w:pPr>
    </w:p>
    <w:p w:rsidR="006175AD" w:rsidRDefault="006175AD" w:rsidP="00906E49">
      <w:pPr>
        <w:shd w:val="clear" w:color="auto" w:fill="FFFFFF"/>
        <w:spacing w:before="120" w:after="0" w:line="240" w:lineRule="auto"/>
        <w:jc w:val="both"/>
        <w:textAlignment w:val="top"/>
        <w:rPr>
          <w:b/>
          <w:color w:val="000000"/>
          <w:szCs w:val="28"/>
        </w:rPr>
      </w:pPr>
    </w:p>
    <w:p w:rsidR="006175AD" w:rsidRDefault="006175AD" w:rsidP="007D6B36">
      <w:pPr>
        <w:shd w:val="clear" w:color="auto" w:fill="FFFFFF"/>
        <w:spacing w:after="0" w:line="240" w:lineRule="auto"/>
        <w:ind w:firstLine="360"/>
        <w:jc w:val="both"/>
        <w:textAlignment w:val="top"/>
        <w:rPr>
          <w:b/>
          <w:color w:val="000000"/>
          <w:szCs w:val="28"/>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6175AD" w:rsidRPr="00E654B7" w:rsidRDefault="006175AD" w:rsidP="00021F92">
      <w:pPr>
        <w:pStyle w:val="ListParagraph"/>
        <w:shd w:val="clear" w:color="auto" w:fill="FFFFFF"/>
        <w:spacing w:before="60" w:after="0" w:line="240" w:lineRule="auto"/>
        <w:jc w:val="both"/>
        <w:textAlignment w:val="top"/>
        <w:rPr>
          <w:b/>
          <w:color w:val="000000"/>
          <w:szCs w:val="28"/>
        </w:rPr>
      </w:pPr>
    </w:p>
    <w:p w:rsidR="006175AD" w:rsidRPr="006B0984" w:rsidRDefault="006175AD" w:rsidP="00693505">
      <w:pPr>
        <w:shd w:val="clear" w:color="auto" w:fill="FFFFFF"/>
        <w:spacing w:before="60" w:after="0" w:line="240" w:lineRule="auto"/>
        <w:jc w:val="both"/>
        <w:textAlignment w:val="top"/>
        <w:rPr>
          <w:rFonts w:ascii="Arial" w:hAnsi="Arial" w:cs="Arial"/>
          <w:b/>
          <w:color w:val="000000"/>
          <w:sz w:val="23"/>
          <w:szCs w:val="23"/>
        </w:rPr>
      </w:pPr>
    </w:p>
    <w:sectPr w:rsidR="006175AD" w:rsidRPr="006B0984" w:rsidSect="00725801">
      <w:footerReference w:type="default" r:id="rId8"/>
      <w:pgSz w:w="12240" w:h="15840"/>
      <w:pgMar w:top="993" w:right="851" w:bottom="993" w:left="1985" w:header="720" w:footer="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5AD" w:rsidRDefault="006175AD" w:rsidP="00046233">
      <w:pPr>
        <w:spacing w:after="0" w:line="240" w:lineRule="auto"/>
      </w:pPr>
      <w:r>
        <w:separator/>
      </w:r>
    </w:p>
  </w:endnote>
  <w:endnote w:type="continuationSeparator" w:id="0">
    <w:p w:rsidR="006175AD" w:rsidRDefault="006175AD" w:rsidP="000462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5AD" w:rsidRDefault="006175AD">
    <w:pPr>
      <w:pStyle w:val="Footer"/>
      <w:jc w:val="right"/>
    </w:pPr>
    <w:fldSimple w:instr=" PAGE   \* MERGEFORMAT ">
      <w:r>
        <w:rPr>
          <w:noProof/>
        </w:rPr>
        <w:t>3</w:t>
      </w:r>
    </w:fldSimple>
  </w:p>
  <w:p w:rsidR="006175AD" w:rsidRDefault="006175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5AD" w:rsidRDefault="006175AD" w:rsidP="00046233">
      <w:pPr>
        <w:spacing w:after="0" w:line="240" w:lineRule="auto"/>
      </w:pPr>
      <w:r>
        <w:separator/>
      </w:r>
    </w:p>
  </w:footnote>
  <w:footnote w:type="continuationSeparator" w:id="0">
    <w:p w:rsidR="006175AD" w:rsidRDefault="006175AD" w:rsidP="000462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6AC24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78C68A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0943CD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5C0204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B404F0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B4170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54C5C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1D8F0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96CB3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30266A"/>
    <w:lvl w:ilvl="0">
      <w:start w:val="1"/>
      <w:numFmt w:val="bullet"/>
      <w:lvlText w:val=""/>
      <w:lvlJc w:val="left"/>
      <w:pPr>
        <w:tabs>
          <w:tab w:val="num" w:pos="360"/>
        </w:tabs>
        <w:ind w:left="360" w:hanging="360"/>
      </w:pPr>
      <w:rPr>
        <w:rFonts w:ascii="Symbol" w:hAnsi="Symbol" w:hint="default"/>
      </w:rPr>
    </w:lvl>
  </w:abstractNum>
  <w:abstractNum w:abstractNumId="10">
    <w:nsid w:val="18CD38EC"/>
    <w:multiLevelType w:val="hybridMultilevel"/>
    <w:tmpl w:val="A73AF2FA"/>
    <w:lvl w:ilvl="0" w:tplc="28C098E6">
      <w:start w:val="1"/>
      <w:numFmt w:val="decimal"/>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37783AB3"/>
    <w:multiLevelType w:val="hybridMultilevel"/>
    <w:tmpl w:val="5490A122"/>
    <w:lvl w:ilvl="0" w:tplc="A084617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CE15086"/>
    <w:multiLevelType w:val="hybridMultilevel"/>
    <w:tmpl w:val="EC088270"/>
    <w:lvl w:ilvl="0" w:tplc="7E702C46">
      <w:start w:val="1"/>
      <w:numFmt w:val="decimal"/>
      <w:lvlText w:val="%1."/>
      <w:lvlJc w:val="left"/>
      <w:pPr>
        <w:ind w:left="1750" w:hanging="103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5713E46"/>
    <w:multiLevelType w:val="hybridMultilevel"/>
    <w:tmpl w:val="97DC57D4"/>
    <w:lvl w:ilvl="0" w:tplc="6EAC48A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6138D8"/>
    <w:multiLevelType w:val="hybridMultilevel"/>
    <w:tmpl w:val="C7E679D2"/>
    <w:lvl w:ilvl="0" w:tplc="BAB40E4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4"/>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6233"/>
    <w:rsid w:val="00001D50"/>
    <w:rsid w:val="00007EC8"/>
    <w:rsid w:val="00010498"/>
    <w:rsid w:val="00021F92"/>
    <w:rsid w:val="0002203D"/>
    <w:rsid w:val="00022C37"/>
    <w:rsid w:val="00025025"/>
    <w:rsid w:val="00032266"/>
    <w:rsid w:val="00046233"/>
    <w:rsid w:val="00046663"/>
    <w:rsid w:val="001201E8"/>
    <w:rsid w:val="00150F8D"/>
    <w:rsid w:val="00187B24"/>
    <w:rsid w:val="00195D8D"/>
    <w:rsid w:val="001C3248"/>
    <w:rsid w:val="001D48CB"/>
    <w:rsid w:val="001E5A2A"/>
    <w:rsid w:val="001E6239"/>
    <w:rsid w:val="00236465"/>
    <w:rsid w:val="002640F8"/>
    <w:rsid w:val="002D78D6"/>
    <w:rsid w:val="00303A86"/>
    <w:rsid w:val="00305926"/>
    <w:rsid w:val="003211A8"/>
    <w:rsid w:val="00344A5A"/>
    <w:rsid w:val="003654B2"/>
    <w:rsid w:val="003669DD"/>
    <w:rsid w:val="00386BA4"/>
    <w:rsid w:val="0039790F"/>
    <w:rsid w:val="003C0E9D"/>
    <w:rsid w:val="003D5F62"/>
    <w:rsid w:val="003E1CEA"/>
    <w:rsid w:val="004126A8"/>
    <w:rsid w:val="00420BE4"/>
    <w:rsid w:val="00435723"/>
    <w:rsid w:val="004765A6"/>
    <w:rsid w:val="004B0CD5"/>
    <w:rsid w:val="004B3DCB"/>
    <w:rsid w:val="004C2D1C"/>
    <w:rsid w:val="004D4A66"/>
    <w:rsid w:val="004D7DDE"/>
    <w:rsid w:val="00507904"/>
    <w:rsid w:val="00514C3F"/>
    <w:rsid w:val="00522F15"/>
    <w:rsid w:val="00534CD3"/>
    <w:rsid w:val="0054515F"/>
    <w:rsid w:val="005470F1"/>
    <w:rsid w:val="00547D27"/>
    <w:rsid w:val="00563890"/>
    <w:rsid w:val="0058739E"/>
    <w:rsid w:val="005D65D1"/>
    <w:rsid w:val="005E01C6"/>
    <w:rsid w:val="005E0EE4"/>
    <w:rsid w:val="005E53CC"/>
    <w:rsid w:val="006175AD"/>
    <w:rsid w:val="006202E4"/>
    <w:rsid w:val="00664278"/>
    <w:rsid w:val="006642C4"/>
    <w:rsid w:val="006663C9"/>
    <w:rsid w:val="006677A9"/>
    <w:rsid w:val="00682C1A"/>
    <w:rsid w:val="00687D85"/>
    <w:rsid w:val="00693505"/>
    <w:rsid w:val="006B0984"/>
    <w:rsid w:val="007006DF"/>
    <w:rsid w:val="00700AE0"/>
    <w:rsid w:val="00704695"/>
    <w:rsid w:val="00716B34"/>
    <w:rsid w:val="00725801"/>
    <w:rsid w:val="0075253C"/>
    <w:rsid w:val="007569C5"/>
    <w:rsid w:val="00764F2D"/>
    <w:rsid w:val="0077749E"/>
    <w:rsid w:val="007776BA"/>
    <w:rsid w:val="00787622"/>
    <w:rsid w:val="007879A8"/>
    <w:rsid w:val="007916B2"/>
    <w:rsid w:val="00792041"/>
    <w:rsid w:val="007A1F02"/>
    <w:rsid w:val="007D4E47"/>
    <w:rsid w:val="007D61AB"/>
    <w:rsid w:val="007D6B36"/>
    <w:rsid w:val="007E7C9B"/>
    <w:rsid w:val="007F72AE"/>
    <w:rsid w:val="008039FD"/>
    <w:rsid w:val="008124D2"/>
    <w:rsid w:val="008151A0"/>
    <w:rsid w:val="00840FE3"/>
    <w:rsid w:val="00841428"/>
    <w:rsid w:val="00843F58"/>
    <w:rsid w:val="008467A3"/>
    <w:rsid w:val="00856A4A"/>
    <w:rsid w:val="00856ED9"/>
    <w:rsid w:val="00857623"/>
    <w:rsid w:val="00881BFD"/>
    <w:rsid w:val="008855C9"/>
    <w:rsid w:val="008A0E2C"/>
    <w:rsid w:val="008B64B3"/>
    <w:rsid w:val="008B6726"/>
    <w:rsid w:val="008C25F9"/>
    <w:rsid w:val="008F6815"/>
    <w:rsid w:val="0090643A"/>
    <w:rsid w:val="00906E49"/>
    <w:rsid w:val="0091069B"/>
    <w:rsid w:val="00954EF2"/>
    <w:rsid w:val="00954F5B"/>
    <w:rsid w:val="0096072C"/>
    <w:rsid w:val="00977A82"/>
    <w:rsid w:val="009842BC"/>
    <w:rsid w:val="00991A21"/>
    <w:rsid w:val="009A41F8"/>
    <w:rsid w:val="009B48C4"/>
    <w:rsid w:val="009B63B8"/>
    <w:rsid w:val="009F1650"/>
    <w:rsid w:val="009F771F"/>
    <w:rsid w:val="00A01BB4"/>
    <w:rsid w:val="00A03FBE"/>
    <w:rsid w:val="00A14F7E"/>
    <w:rsid w:val="00A174EF"/>
    <w:rsid w:val="00A245E4"/>
    <w:rsid w:val="00A433EC"/>
    <w:rsid w:val="00A46212"/>
    <w:rsid w:val="00A63652"/>
    <w:rsid w:val="00AD2CC6"/>
    <w:rsid w:val="00AF1745"/>
    <w:rsid w:val="00B208BD"/>
    <w:rsid w:val="00B25597"/>
    <w:rsid w:val="00B257CA"/>
    <w:rsid w:val="00B82858"/>
    <w:rsid w:val="00B82F20"/>
    <w:rsid w:val="00B8494F"/>
    <w:rsid w:val="00BA79A8"/>
    <w:rsid w:val="00BB52CB"/>
    <w:rsid w:val="00BC6BB8"/>
    <w:rsid w:val="00BD7EC0"/>
    <w:rsid w:val="00C003E6"/>
    <w:rsid w:val="00C17F6C"/>
    <w:rsid w:val="00C408E2"/>
    <w:rsid w:val="00C82EEA"/>
    <w:rsid w:val="00C8637B"/>
    <w:rsid w:val="00C900DB"/>
    <w:rsid w:val="00CA3609"/>
    <w:rsid w:val="00CD58F9"/>
    <w:rsid w:val="00CD6490"/>
    <w:rsid w:val="00CE1B45"/>
    <w:rsid w:val="00CE25E9"/>
    <w:rsid w:val="00CF5837"/>
    <w:rsid w:val="00D4237A"/>
    <w:rsid w:val="00DE1F03"/>
    <w:rsid w:val="00DE3C59"/>
    <w:rsid w:val="00DF125B"/>
    <w:rsid w:val="00DF5759"/>
    <w:rsid w:val="00E03266"/>
    <w:rsid w:val="00E110C9"/>
    <w:rsid w:val="00E433F7"/>
    <w:rsid w:val="00E6043C"/>
    <w:rsid w:val="00E654B7"/>
    <w:rsid w:val="00E74C34"/>
    <w:rsid w:val="00E846DB"/>
    <w:rsid w:val="00EB1927"/>
    <w:rsid w:val="00EC0C7D"/>
    <w:rsid w:val="00ED5BC5"/>
    <w:rsid w:val="00EE6646"/>
    <w:rsid w:val="00EF6574"/>
    <w:rsid w:val="00F0179D"/>
    <w:rsid w:val="00F1033B"/>
    <w:rsid w:val="00F42392"/>
    <w:rsid w:val="00F5689A"/>
    <w:rsid w:val="00F71601"/>
    <w:rsid w:val="00F72A1C"/>
    <w:rsid w:val="00F740D5"/>
    <w:rsid w:val="00F81DDD"/>
    <w:rsid w:val="00F85715"/>
    <w:rsid w:val="00FB4932"/>
    <w:rsid w:val="00FC4D58"/>
    <w:rsid w:val="00FD65CD"/>
    <w:rsid w:val="00FF6B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1C6"/>
    <w:pPr>
      <w:spacing w:after="160" w:line="259" w:lineRule="auto"/>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623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46233"/>
    <w:rPr>
      <w:rFonts w:cs="Times New Roman"/>
    </w:rPr>
  </w:style>
  <w:style w:type="paragraph" w:styleId="Footer">
    <w:name w:val="footer"/>
    <w:basedOn w:val="Normal"/>
    <w:link w:val="FooterChar"/>
    <w:uiPriority w:val="99"/>
    <w:rsid w:val="0004623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46233"/>
    <w:rPr>
      <w:rFonts w:cs="Times New Roman"/>
    </w:rPr>
  </w:style>
  <w:style w:type="table" w:styleId="TableGrid">
    <w:name w:val="Table Grid"/>
    <w:basedOn w:val="TableNormal"/>
    <w:uiPriority w:val="99"/>
    <w:rsid w:val="0004623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642C4"/>
    <w:pPr>
      <w:ind w:left="720"/>
      <w:contextualSpacing/>
    </w:pPr>
  </w:style>
  <w:style w:type="character" w:styleId="Hyperlink">
    <w:name w:val="Hyperlink"/>
    <w:basedOn w:val="DefaultParagraphFont"/>
    <w:uiPriority w:val="99"/>
    <w:rsid w:val="00522F15"/>
    <w:rPr>
      <w:rFonts w:cs="Times New Roman"/>
      <w:color w:val="0563C1"/>
      <w:u w:val="single"/>
    </w:rPr>
  </w:style>
  <w:style w:type="paragraph" w:styleId="BalloonText">
    <w:name w:val="Balloon Text"/>
    <w:basedOn w:val="Normal"/>
    <w:link w:val="BalloonTextChar"/>
    <w:uiPriority w:val="99"/>
    <w:semiHidden/>
    <w:rsid w:val="00021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21F9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550473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uyengiaoldlddakla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890</Words>
  <Characters>5078</Characters>
  <Application>Microsoft Office Outlook</Application>
  <DocSecurity>0</DocSecurity>
  <Lines>0</Lines>
  <Paragraphs>0</Paragraphs>
  <ScaleCrop>false</ScaleCrop>
  <Company>SLIRA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2020-10-08T08:29:00Z</cp:lastPrinted>
  <dcterms:created xsi:type="dcterms:W3CDTF">2020-10-13T01:43:00Z</dcterms:created>
  <dcterms:modified xsi:type="dcterms:W3CDTF">2020-10-13T03:45:00Z</dcterms:modified>
</cp:coreProperties>
</file>